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5E4" w14:textId="77777777" w:rsidR="00571AB4" w:rsidRPr="0046111D" w:rsidRDefault="00571AB4" w:rsidP="00571A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tabs>
          <w:tab w:val="left" w:pos="6425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C395A3" wp14:editId="6D40007B">
            <wp:simplePos x="0" y="0"/>
            <wp:positionH relativeFrom="column">
              <wp:posOffset>7085965</wp:posOffset>
            </wp:positionH>
            <wp:positionV relativeFrom="paragraph">
              <wp:posOffset>52705</wp:posOffset>
            </wp:positionV>
            <wp:extent cx="2019260" cy="1101684"/>
            <wp:effectExtent l="0" t="0" r="0" b="0"/>
            <wp:wrapNone/>
            <wp:docPr id="236050999" name="Grafik 1" descr="Ein Bild, das Text, Schrift, Grafiken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50999" name="Grafik 1" descr="Ein Bild, das Text, Schrift, Grafiken, weiß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6" b="23236"/>
                    <a:stretch/>
                  </pic:blipFill>
                  <pic:spPr bwMode="auto">
                    <a:xfrm>
                      <a:off x="0" y="0"/>
                      <a:ext cx="2019260" cy="11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F251A" w14:textId="6B3BB948" w:rsidR="00571AB4" w:rsidRDefault="00571AB4" w:rsidP="00571A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tabs>
          <w:tab w:val="center" w:pos="5670"/>
        </w:tabs>
        <w:spacing w:after="0" w:line="240" w:lineRule="auto"/>
        <w:rPr>
          <w:b/>
          <w:sz w:val="40"/>
        </w:rPr>
      </w:pPr>
      <w:r>
        <w:rPr>
          <w:b/>
          <w:sz w:val="40"/>
        </w:rPr>
        <w:tab/>
      </w:r>
      <w:r w:rsidRPr="00F55825">
        <w:rPr>
          <w:b/>
          <w:sz w:val="40"/>
        </w:rPr>
        <w:t xml:space="preserve">Leistungsbewertung im Fach </w:t>
      </w:r>
      <w:r>
        <w:rPr>
          <w:b/>
          <w:sz w:val="40"/>
        </w:rPr>
        <w:t>Chemie in der</w:t>
      </w:r>
      <w:r w:rsidRPr="00F55825">
        <w:rPr>
          <w:b/>
          <w:sz w:val="40"/>
        </w:rPr>
        <w:t xml:space="preserve"> Sekundarstufe </w:t>
      </w:r>
      <w:r>
        <w:rPr>
          <w:b/>
          <w:sz w:val="40"/>
        </w:rPr>
        <w:t>I</w:t>
      </w:r>
      <w:r w:rsidR="00D435FE">
        <w:rPr>
          <w:b/>
          <w:sz w:val="40"/>
        </w:rPr>
        <w:t>I</w:t>
      </w:r>
    </w:p>
    <w:p w14:paraId="629F3826" w14:textId="77777777" w:rsidR="00571AB4" w:rsidRDefault="00571AB4" w:rsidP="00571A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tabs>
          <w:tab w:val="center" w:pos="5670"/>
        </w:tabs>
        <w:spacing w:after="0" w:line="240" w:lineRule="auto"/>
        <w:rPr>
          <w:b/>
        </w:rPr>
      </w:pPr>
      <w:r>
        <w:rPr>
          <w:b/>
        </w:rPr>
        <w:tab/>
      </w:r>
    </w:p>
    <w:p w14:paraId="113A049E" w14:textId="0E35F34D" w:rsidR="00571AB4" w:rsidRDefault="00571AB4" w:rsidP="00571A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tabs>
          <w:tab w:val="center" w:pos="5670"/>
        </w:tabs>
        <w:spacing w:after="0" w:line="240" w:lineRule="auto"/>
        <w:rPr>
          <w:b/>
        </w:rPr>
      </w:pPr>
      <w:r>
        <w:rPr>
          <w:b/>
        </w:rPr>
        <w:tab/>
      </w:r>
      <w:r w:rsidRPr="007179EA">
        <w:rPr>
          <w:b/>
        </w:rPr>
        <w:t xml:space="preserve">In der vorliegenden Version sind die </w:t>
      </w:r>
      <w:r>
        <w:rPr>
          <w:b/>
        </w:rPr>
        <w:t xml:space="preserve">von der Fachkonferenz Chemie der Gesamtschule Langerfeld </w:t>
      </w:r>
      <w:r w:rsidRPr="007179EA">
        <w:rPr>
          <w:b/>
        </w:rPr>
        <w:t>formulierten</w:t>
      </w:r>
      <w:r>
        <w:rPr>
          <w:b/>
        </w:rPr>
        <w:t xml:space="preserve"> </w:t>
      </w:r>
    </w:p>
    <w:p w14:paraId="79CFC9B5" w14:textId="7C604DF4" w:rsidR="00571AB4" w:rsidRPr="007179EA" w:rsidRDefault="00571AB4" w:rsidP="00571A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tabs>
          <w:tab w:val="center" w:pos="5670"/>
        </w:tabs>
        <w:spacing w:after="0" w:line="240" w:lineRule="auto"/>
        <w:rPr>
          <w:b/>
        </w:rPr>
      </w:pPr>
      <w:r>
        <w:rPr>
          <w:b/>
        </w:rPr>
        <w:tab/>
      </w:r>
      <w:r w:rsidRPr="007179EA">
        <w:rPr>
          <w:b/>
        </w:rPr>
        <w:t>Grundsätze gültig ab dem Schuljahr 2023/2024 laut Beschluss vom</w:t>
      </w:r>
      <w:r>
        <w:rPr>
          <w:b/>
        </w:rPr>
        <w:t xml:space="preserve"> 19.10.2023 und damit verbindlich umzusetzen.</w:t>
      </w:r>
    </w:p>
    <w:p w14:paraId="337A1A51" w14:textId="77777777" w:rsidR="00571AB4" w:rsidRPr="001D682F" w:rsidRDefault="00571AB4" w:rsidP="00571A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tabs>
          <w:tab w:val="center" w:pos="5670"/>
        </w:tabs>
        <w:spacing w:after="0" w:line="240" w:lineRule="auto"/>
        <w:rPr>
          <w:b/>
          <w:sz w:val="16"/>
          <w:szCs w:val="16"/>
        </w:rPr>
      </w:pPr>
      <w:r w:rsidRPr="001D682F">
        <w:rPr>
          <w:sz w:val="16"/>
          <w:szCs w:val="16"/>
        </w:rPr>
        <w:tab/>
      </w:r>
      <w:r w:rsidRPr="001D682F">
        <w:rPr>
          <w:sz w:val="16"/>
          <w:szCs w:val="16"/>
        </w:rPr>
        <w:tab/>
      </w:r>
      <w:r w:rsidRPr="001D682F">
        <w:rPr>
          <w:sz w:val="16"/>
          <w:szCs w:val="16"/>
        </w:rPr>
        <w:tab/>
      </w:r>
    </w:p>
    <w:p w14:paraId="28C3F98E" w14:textId="7C1697C3" w:rsidR="009A79FD" w:rsidRDefault="00F864BC" w:rsidP="009A79FD">
      <w:pPr>
        <w:spacing w:before="240"/>
      </w:pPr>
      <w:r>
        <w:t>Maßgebend für die Leistungsbewertung sind die fachspezifischen Anforderungen der Kompetenzbereiche (s.u.). Innerhalb der Kompetenzbereiche können die Anforderungsbereiche den folgenden Teilbereichen zugeordnet werden.</w:t>
      </w:r>
      <w:r w:rsidR="001F6898">
        <w:t xml:space="preserve"> </w:t>
      </w:r>
      <w:r>
        <w:t>Die Gesamtnote setzt sich aus der Einordnung in die Anforderungsbereiche in den aufgeführten Teilbereichen zusammen.</w:t>
      </w:r>
    </w:p>
    <w:p w14:paraId="2871E283" w14:textId="1E75FACD" w:rsidR="00DC169F" w:rsidRPr="00DC169F" w:rsidRDefault="00DC169F" w:rsidP="009A79FD">
      <w:pPr>
        <w:spacing w:before="240"/>
        <w:rPr>
          <w:b/>
          <w:bCs/>
          <w:sz w:val="24"/>
          <w:szCs w:val="24"/>
          <w:u w:val="single"/>
        </w:rPr>
      </w:pPr>
      <w:r w:rsidRPr="00DC169F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64652" wp14:editId="2712F73C">
                <wp:simplePos x="0" y="0"/>
                <wp:positionH relativeFrom="column">
                  <wp:posOffset>6489886</wp:posOffset>
                </wp:positionH>
                <wp:positionV relativeFrom="paragraph">
                  <wp:posOffset>284310</wp:posOffset>
                </wp:positionV>
                <wp:extent cx="3335020" cy="2826913"/>
                <wp:effectExtent l="0" t="0" r="0" b="0"/>
                <wp:wrapNone/>
                <wp:docPr id="157489416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2826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40F24" w14:textId="77777777" w:rsidR="009A79FD" w:rsidRDefault="009A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6465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11pt;margin-top:22.4pt;width:262.6pt;height:2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" fillcolor="white [3201]" stroked="f" strokeweight=".5pt">
                <v:textbox>
                  <w:txbxContent>
                    <w:p w14:paraId="1B340F24" w14:textId="77777777" w:rsidR="009A79FD" w:rsidRDefault="009A79FD"/>
                  </w:txbxContent>
                </v:textbox>
              </v:shape>
            </w:pict>
          </mc:Fallback>
        </mc:AlternateContent>
      </w:r>
      <w:r w:rsidRPr="00DC169F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12B95FED" wp14:editId="034F7B7F">
            <wp:simplePos x="0" y="0"/>
            <wp:positionH relativeFrom="margin">
              <wp:posOffset>-87522</wp:posOffset>
            </wp:positionH>
            <wp:positionV relativeFrom="paragraph">
              <wp:posOffset>444747</wp:posOffset>
            </wp:positionV>
            <wp:extent cx="9980930" cy="4481195"/>
            <wp:effectExtent l="0" t="0" r="1270" b="0"/>
            <wp:wrapThrough wrapText="bothSides">
              <wp:wrapPolygon edited="0">
                <wp:start x="0" y="0"/>
                <wp:lineTo x="0" y="21487"/>
                <wp:lineTo x="21562" y="21487"/>
                <wp:lineTo x="21562" y="0"/>
                <wp:lineTo x="0" y="0"/>
              </wp:wrapPolygon>
            </wp:wrapThrough>
            <wp:docPr id="20759670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6707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6" t="37673" r="12827" b="13721"/>
                    <a:stretch/>
                  </pic:blipFill>
                  <pic:spPr bwMode="auto">
                    <a:xfrm>
                      <a:off x="0" y="0"/>
                      <a:ext cx="9980930" cy="448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69F">
        <w:rPr>
          <w:b/>
          <w:bCs/>
          <w:sz w:val="28"/>
          <w:szCs w:val="28"/>
          <w:u w:val="single"/>
        </w:rPr>
        <w:t>Schema/ Übersicht zur Leistungsbewertung Chemie in der Sekundarstufe II</w:t>
      </w:r>
    </w:p>
    <w:p w14:paraId="24006FA3" w14:textId="77777777" w:rsidR="00DC169F" w:rsidRDefault="00DC169F" w:rsidP="00AD2691">
      <w:pPr>
        <w:tabs>
          <w:tab w:val="center" w:pos="3402"/>
          <w:tab w:val="center" w:pos="11057"/>
        </w:tabs>
        <w:spacing w:line="240" w:lineRule="auto"/>
        <w:rPr>
          <w:b/>
          <w:sz w:val="28"/>
          <w:szCs w:val="28"/>
          <w:u w:val="single"/>
        </w:rPr>
      </w:pPr>
    </w:p>
    <w:p w14:paraId="73E581DF" w14:textId="56FF878F" w:rsidR="002E54E7" w:rsidRPr="00DC169F" w:rsidRDefault="002E54E7" w:rsidP="00AD2691">
      <w:pPr>
        <w:tabs>
          <w:tab w:val="center" w:pos="3402"/>
          <w:tab w:val="center" w:pos="11057"/>
        </w:tabs>
        <w:spacing w:line="240" w:lineRule="auto"/>
        <w:rPr>
          <w:b/>
          <w:sz w:val="28"/>
          <w:szCs w:val="28"/>
        </w:rPr>
      </w:pPr>
      <w:r w:rsidRPr="00DC169F">
        <w:rPr>
          <w:b/>
          <w:sz w:val="28"/>
          <w:szCs w:val="28"/>
          <w:u w:val="single"/>
        </w:rPr>
        <w:lastRenderedPageBreak/>
        <w:t>Schriftliche Arbeiten/</w:t>
      </w:r>
      <w:r w:rsidRPr="00DC169F">
        <w:rPr>
          <w:b/>
          <w:sz w:val="28"/>
          <w:szCs w:val="28"/>
          <w:u w:val="single"/>
        </w:rPr>
        <w:tab/>
        <w:t>Sonstige Leistungen im Unterricht/ Klausuren</w:t>
      </w:r>
      <w:r w:rsidRPr="00DC169F">
        <w:rPr>
          <w:b/>
          <w:sz w:val="28"/>
          <w:szCs w:val="28"/>
        </w:rPr>
        <w:t xml:space="preserve"> </w:t>
      </w:r>
      <w:r w:rsidRPr="00DC169F">
        <w:rPr>
          <w:sz w:val="28"/>
          <w:szCs w:val="28"/>
        </w:rPr>
        <w:t>(ca. 50 % bzw. 0 %)</w:t>
      </w:r>
      <w:r w:rsidRPr="00DC169F">
        <w:rPr>
          <w:b/>
          <w:sz w:val="28"/>
          <w:szCs w:val="28"/>
        </w:rPr>
        <w:t xml:space="preserve"> </w:t>
      </w:r>
    </w:p>
    <w:tbl>
      <w:tblPr>
        <w:tblStyle w:val="Tabellenraster"/>
        <w:tblpPr w:leftFromText="141" w:rightFromText="141" w:vertAnchor="text" w:horzAnchor="page" w:tblpX="1137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252"/>
      </w:tblGrid>
      <w:tr w:rsidR="002E54E7" w:rsidRPr="00CE58F9" w14:paraId="341F2213" w14:textId="77777777" w:rsidTr="00AD2691">
        <w:trPr>
          <w:trHeight w:val="276"/>
        </w:trPr>
        <w:tc>
          <w:tcPr>
            <w:tcW w:w="1555" w:type="dxa"/>
            <w:vAlign w:val="center"/>
          </w:tcPr>
          <w:p w14:paraId="3A189352" w14:textId="77777777" w:rsidR="002E54E7" w:rsidRPr="002E54E7" w:rsidRDefault="002E54E7" w:rsidP="00AD2691">
            <w:pPr>
              <w:tabs>
                <w:tab w:val="center" w:pos="3402"/>
                <w:tab w:val="left" w:pos="10915"/>
                <w:tab w:val="center" w:pos="11057"/>
              </w:tabs>
              <w:rPr>
                <w:b/>
                <w:sz w:val="20"/>
                <w:szCs w:val="20"/>
              </w:rPr>
            </w:pPr>
            <w:r w:rsidRPr="002E54E7">
              <w:rPr>
                <w:b/>
                <w:sz w:val="20"/>
                <w:szCs w:val="20"/>
              </w:rPr>
              <w:t>Jahrgang</w:t>
            </w:r>
          </w:p>
        </w:tc>
        <w:tc>
          <w:tcPr>
            <w:tcW w:w="3827" w:type="dxa"/>
            <w:vAlign w:val="center"/>
          </w:tcPr>
          <w:p w14:paraId="5BD88E13" w14:textId="1FFA0B2A" w:rsidR="002E54E7" w:rsidRPr="002E54E7" w:rsidRDefault="002E54E7" w:rsidP="00AD2691">
            <w:pPr>
              <w:tabs>
                <w:tab w:val="center" w:pos="3402"/>
                <w:tab w:val="left" w:pos="10915"/>
                <w:tab w:val="center" w:pos="11057"/>
              </w:tabs>
              <w:rPr>
                <w:b/>
                <w:sz w:val="20"/>
                <w:szCs w:val="20"/>
              </w:rPr>
            </w:pPr>
            <w:r w:rsidRPr="002E54E7">
              <w:rPr>
                <w:b/>
                <w:sz w:val="20"/>
                <w:szCs w:val="20"/>
              </w:rPr>
              <w:t>Anzahl der Klausuren</w:t>
            </w:r>
            <w:r w:rsidR="00AD2691">
              <w:rPr>
                <w:b/>
                <w:sz w:val="20"/>
                <w:szCs w:val="20"/>
              </w:rPr>
              <w:t xml:space="preserve"> </w:t>
            </w:r>
            <w:r w:rsidRPr="002E54E7">
              <w:rPr>
                <w:sz w:val="20"/>
                <w:szCs w:val="20"/>
              </w:rPr>
              <w:t>(pro Halbjahr)</w:t>
            </w:r>
          </w:p>
        </w:tc>
        <w:tc>
          <w:tcPr>
            <w:tcW w:w="4252" w:type="dxa"/>
            <w:vAlign w:val="center"/>
          </w:tcPr>
          <w:p w14:paraId="34F84941" w14:textId="2815ACFF" w:rsidR="002E54E7" w:rsidRPr="00AD2691" w:rsidRDefault="002E54E7" w:rsidP="00AD2691">
            <w:pPr>
              <w:tabs>
                <w:tab w:val="center" w:pos="3402"/>
                <w:tab w:val="left" w:pos="10915"/>
                <w:tab w:val="center" w:pos="11057"/>
              </w:tabs>
              <w:rPr>
                <w:b/>
                <w:sz w:val="20"/>
                <w:szCs w:val="20"/>
              </w:rPr>
            </w:pPr>
            <w:r w:rsidRPr="002E54E7">
              <w:rPr>
                <w:b/>
                <w:sz w:val="20"/>
                <w:szCs w:val="20"/>
              </w:rPr>
              <w:t xml:space="preserve">Dauer der Klausuren </w:t>
            </w:r>
            <w:r w:rsidR="00AD2691">
              <w:rPr>
                <w:b/>
                <w:sz w:val="20"/>
                <w:szCs w:val="20"/>
              </w:rPr>
              <w:t>(</w:t>
            </w:r>
            <w:r w:rsidRPr="002E54E7">
              <w:rPr>
                <w:sz w:val="20"/>
                <w:szCs w:val="20"/>
              </w:rPr>
              <w:t>in Minuten)</w:t>
            </w:r>
          </w:p>
        </w:tc>
      </w:tr>
      <w:tr w:rsidR="002E54E7" w:rsidRPr="00CE58F9" w14:paraId="4BCC4E13" w14:textId="77777777" w:rsidTr="00AD2691">
        <w:trPr>
          <w:trHeight w:val="371"/>
        </w:trPr>
        <w:tc>
          <w:tcPr>
            <w:tcW w:w="1555" w:type="dxa"/>
            <w:vAlign w:val="center"/>
          </w:tcPr>
          <w:p w14:paraId="296AF61D" w14:textId="33815C20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EF</w:t>
            </w:r>
          </w:p>
        </w:tc>
        <w:tc>
          <w:tcPr>
            <w:tcW w:w="3827" w:type="dxa"/>
            <w:vAlign w:val="center"/>
          </w:tcPr>
          <w:p w14:paraId="07708DC1" w14:textId="7A16BDCA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03FAE914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GK 90</w:t>
            </w:r>
          </w:p>
        </w:tc>
      </w:tr>
      <w:tr w:rsidR="002E54E7" w:rsidRPr="00CE58F9" w14:paraId="0928DC38" w14:textId="77777777" w:rsidTr="00AD2691">
        <w:trPr>
          <w:trHeight w:val="331"/>
        </w:trPr>
        <w:tc>
          <w:tcPr>
            <w:tcW w:w="1555" w:type="dxa"/>
            <w:vAlign w:val="center"/>
          </w:tcPr>
          <w:p w14:paraId="77DC1660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Q1.1</w:t>
            </w:r>
          </w:p>
        </w:tc>
        <w:tc>
          <w:tcPr>
            <w:tcW w:w="3827" w:type="dxa"/>
            <w:vAlign w:val="center"/>
          </w:tcPr>
          <w:p w14:paraId="51535B28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05DCF828" w14:textId="7B6E7EC9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GK 90</w:t>
            </w:r>
          </w:p>
        </w:tc>
      </w:tr>
      <w:tr w:rsidR="002E54E7" w:rsidRPr="00CE58F9" w14:paraId="3FD476FF" w14:textId="77777777" w:rsidTr="00AD2691">
        <w:trPr>
          <w:trHeight w:val="331"/>
        </w:trPr>
        <w:tc>
          <w:tcPr>
            <w:tcW w:w="1555" w:type="dxa"/>
            <w:vAlign w:val="center"/>
          </w:tcPr>
          <w:p w14:paraId="7F9500F8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Q1.2</w:t>
            </w:r>
            <w:r w:rsidRPr="002E54E7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3827" w:type="dxa"/>
            <w:vAlign w:val="center"/>
          </w:tcPr>
          <w:p w14:paraId="125325E1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1AE0DEEA" w14:textId="3A12636C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GK 90</w:t>
            </w:r>
          </w:p>
        </w:tc>
      </w:tr>
      <w:tr w:rsidR="002E54E7" w:rsidRPr="00CE58F9" w14:paraId="3403A08E" w14:textId="77777777" w:rsidTr="00AD2691">
        <w:trPr>
          <w:trHeight w:val="331"/>
        </w:trPr>
        <w:tc>
          <w:tcPr>
            <w:tcW w:w="1555" w:type="dxa"/>
            <w:vAlign w:val="center"/>
          </w:tcPr>
          <w:p w14:paraId="54E5F31F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Q2.1</w:t>
            </w:r>
          </w:p>
        </w:tc>
        <w:tc>
          <w:tcPr>
            <w:tcW w:w="3827" w:type="dxa"/>
            <w:vAlign w:val="center"/>
          </w:tcPr>
          <w:p w14:paraId="14ACC7FA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438081E2" w14:textId="43EEC543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jc w:val="both"/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GK 135</w:t>
            </w:r>
          </w:p>
        </w:tc>
      </w:tr>
      <w:tr w:rsidR="002E54E7" w:rsidRPr="00CE58F9" w14:paraId="68C9367C" w14:textId="77777777" w:rsidTr="00AD2691">
        <w:trPr>
          <w:trHeight w:val="375"/>
        </w:trPr>
        <w:tc>
          <w:tcPr>
            <w:tcW w:w="1555" w:type="dxa"/>
            <w:vAlign w:val="center"/>
          </w:tcPr>
          <w:p w14:paraId="0A333F2E" w14:textId="77777777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Q2.2</w:t>
            </w:r>
          </w:p>
        </w:tc>
        <w:tc>
          <w:tcPr>
            <w:tcW w:w="3827" w:type="dxa"/>
            <w:vAlign w:val="center"/>
          </w:tcPr>
          <w:p w14:paraId="6B0B8826" w14:textId="772B15F8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1 Vorabitur</w:t>
            </w:r>
            <w:r w:rsidRPr="002E54E7">
              <w:rPr>
                <w:sz w:val="20"/>
                <w:szCs w:val="20"/>
              </w:rPr>
              <w:softHyphen/>
              <w:t>klausur</w:t>
            </w:r>
            <w:r w:rsidR="00AD2691">
              <w:rPr>
                <w:sz w:val="20"/>
                <w:szCs w:val="20"/>
              </w:rPr>
              <w:t xml:space="preserve"> </w:t>
            </w:r>
            <w:r w:rsidRPr="002E54E7">
              <w:rPr>
                <w:sz w:val="20"/>
                <w:szCs w:val="20"/>
              </w:rPr>
              <w:t>unter Abiturbedingungen</w:t>
            </w:r>
          </w:p>
        </w:tc>
        <w:tc>
          <w:tcPr>
            <w:tcW w:w="4252" w:type="dxa"/>
            <w:vAlign w:val="center"/>
          </w:tcPr>
          <w:p w14:paraId="3A3044B9" w14:textId="3E6D0F41" w:rsidR="002E54E7" w:rsidRPr="002E54E7" w:rsidRDefault="002E54E7" w:rsidP="002E54E7">
            <w:pPr>
              <w:tabs>
                <w:tab w:val="center" w:pos="3402"/>
                <w:tab w:val="left" w:pos="10915"/>
                <w:tab w:val="center" w:pos="11057"/>
              </w:tabs>
              <w:rPr>
                <w:sz w:val="20"/>
                <w:szCs w:val="20"/>
              </w:rPr>
            </w:pPr>
            <w:r w:rsidRPr="002E54E7">
              <w:rPr>
                <w:sz w:val="20"/>
                <w:szCs w:val="20"/>
              </w:rPr>
              <w:t>Abiturbedingungen</w:t>
            </w:r>
            <w:r w:rsidR="00AD2691">
              <w:rPr>
                <w:sz w:val="20"/>
                <w:szCs w:val="20"/>
              </w:rPr>
              <w:t>, GK 255</w:t>
            </w:r>
          </w:p>
        </w:tc>
      </w:tr>
    </w:tbl>
    <w:p w14:paraId="0929FA97" w14:textId="082911A9" w:rsidR="002E54E7" w:rsidRDefault="002E54E7" w:rsidP="002E54E7">
      <w:pPr>
        <w:spacing w:after="0"/>
      </w:pPr>
      <w:r w:rsidRPr="00CE58F9">
        <w:t xml:space="preserve"> </w:t>
      </w:r>
      <w:r>
        <w:tab/>
      </w:r>
    </w:p>
    <w:p w14:paraId="2A7F340B" w14:textId="77777777" w:rsidR="002E54E7" w:rsidRDefault="002E54E7" w:rsidP="002E54E7">
      <w:pPr>
        <w:spacing w:after="0"/>
      </w:pPr>
    </w:p>
    <w:p w14:paraId="6CFC64E2" w14:textId="77777777" w:rsidR="002E54E7" w:rsidRDefault="002E54E7" w:rsidP="002E54E7">
      <w:pPr>
        <w:spacing w:after="0"/>
      </w:pPr>
    </w:p>
    <w:p w14:paraId="29B7189B" w14:textId="77777777" w:rsidR="002E54E7" w:rsidRDefault="002E54E7" w:rsidP="002E54E7">
      <w:pPr>
        <w:spacing w:after="0"/>
      </w:pPr>
    </w:p>
    <w:p w14:paraId="7037B85D" w14:textId="77777777" w:rsidR="002E54E7" w:rsidRDefault="002E54E7" w:rsidP="002E54E7">
      <w:pPr>
        <w:spacing w:after="0"/>
      </w:pPr>
    </w:p>
    <w:p w14:paraId="24A8C19F" w14:textId="77777777" w:rsidR="002E54E7" w:rsidRDefault="002E54E7" w:rsidP="002E54E7">
      <w:pPr>
        <w:spacing w:after="0"/>
      </w:pPr>
    </w:p>
    <w:p w14:paraId="22627885" w14:textId="7918B1B9" w:rsidR="002E54E7" w:rsidRDefault="002E54E7" w:rsidP="002E54E7">
      <w:pPr>
        <w:spacing w:before="240"/>
      </w:pPr>
      <w:r>
        <w:tab/>
      </w:r>
    </w:p>
    <w:p w14:paraId="3726DB5A" w14:textId="77777777" w:rsidR="002E54E7" w:rsidRPr="00DC169F" w:rsidRDefault="002E54E7" w:rsidP="00DC169F">
      <w:pPr>
        <w:pStyle w:val="berschrift1"/>
        <w:spacing w:before="0" w:after="24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bookmarkStart w:id="0" w:name="Notenstufen_5"/>
      <w:bookmarkStart w:id="1" w:name="_Toc148081209"/>
      <w:r w:rsidRPr="00DC169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Notenstufen</w:t>
      </w:r>
      <w:bookmarkEnd w:id="1"/>
    </w:p>
    <w:bookmarkEnd w:id="0"/>
    <w:p w14:paraId="65CFEF61" w14:textId="77777777" w:rsidR="00DC169F" w:rsidRDefault="002E54E7" w:rsidP="002E54E7">
      <w:pPr>
        <w:spacing w:after="0"/>
        <w:jc w:val="both"/>
        <w:rPr>
          <w:rFonts w:eastAsia="Times New Roman" w:cstheme="minorHAnsi"/>
          <w:color w:val="000000" w:themeColor="text1"/>
          <w:sz w:val="19"/>
          <w:szCs w:val="19"/>
          <w:lang w:eastAsia="de-DE"/>
        </w:rPr>
      </w:pPr>
      <w:r w:rsidRPr="002E54E7">
        <w:rPr>
          <w:rFonts w:cstheme="minorHAnsi"/>
          <w:color w:val="000000" w:themeColor="text1"/>
        </w:rPr>
        <w:t xml:space="preserve">Die in der Einführungsphase erbrachten Leistungen werden mit den Notenstufen von sehr gut (1) bis ungenügend (6) gemäß </w:t>
      </w:r>
      <w:hyperlink r:id="rId9" w:anchor="1-1p48(3)" w:history="1">
        <w:r w:rsidRPr="002E54E7">
          <w:rPr>
            <w:rStyle w:val="Hyperlink"/>
            <w:rFonts w:cstheme="minorHAnsi"/>
            <w:color w:val="000000" w:themeColor="text1"/>
          </w:rPr>
          <w:t>§ 48 Abs. 3 SchulG</w:t>
        </w:r>
      </w:hyperlink>
      <w:r w:rsidRPr="002E54E7">
        <w:rPr>
          <w:rFonts w:cstheme="minorHAnsi"/>
          <w:color w:val="000000" w:themeColor="text1"/>
        </w:rPr>
        <w:t xml:space="preserve"> bewertet. Ab der Qualifikationsphase werden die erteilten Kursabschlussnoten und die in der Abiturprüfung erteilten Noten in Punkte übertragen, siehe unten.</w:t>
      </w:r>
      <w:r w:rsidRPr="002E54E7">
        <w:rPr>
          <w:rStyle w:val="Funotenzeichen"/>
          <w:rFonts w:eastAsia="Times New Roman" w:cstheme="minorHAnsi"/>
          <w:color w:val="000000" w:themeColor="text1"/>
          <w:sz w:val="19"/>
          <w:szCs w:val="19"/>
          <w:lang w:eastAsia="de-DE"/>
        </w:rPr>
        <w:footnoteReference w:id="2"/>
      </w:r>
      <w:r w:rsidRPr="002E54E7">
        <w:rPr>
          <w:rFonts w:eastAsia="Times New Roman" w:cstheme="minorHAnsi"/>
          <w:color w:val="000000" w:themeColor="text1"/>
          <w:sz w:val="19"/>
          <w:szCs w:val="19"/>
          <w:lang w:eastAsia="de-DE"/>
        </w:rPr>
        <w:t xml:space="preserve"> </w:t>
      </w:r>
      <w:r>
        <w:rPr>
          <w:rFonts w:eastAsia="Times New Roman" w:cstheme="minorHAnsi"/>
          <w:color w:val="000000" w:themeColor="text1"/>
          <w:sz w:val="19"/>
          <w:szCs w:val="19"/>
          <w:lang w:eastAsia="de-DE"/>
        </w:rPr>
        <w:t xml:space="preserve"> </w:t>
      </w:r>
    </w:p>
    <w:p w14:paraId="4C0B10AD" w14:textId="77777777" w:rsidR="00DC169F" w:rsidRDefault="00DC169F" w:rsidP="002E54E7">
      <w:pPr>
        <w:spacing w:after="0"/>
        <w:jc w:val="both"/>
        <w:rPr>
          <w:rFonts w:eastAsia="Times New Roman" w:cstheme="minorHAnsi"/>
          <w:color w:val="000000" w:themeColor="text1"/>
          <w:sz w:val="19"/>
          <w:szCs w:val="19"/>
          <w:lang w:eastAsia="de-DE"/>
        </w:rPr>
      </w:pPr>
    </w:p>
    <w:p w14:paraId="136E2F24" w14:textId="751F479C" w:rsidR="002E54E7" w:rsidRPr="002E54E7" w:rsidRDefault="002E54E7" w:rsidP="002E54E7">
      <w:pPr>
        <w:spacing w:after="0"/>
        <w:jc w:val="both"/>
        <w:rPr>
          <w:rFonts w:eastAsia="Times New Roman" w:cstheme="minorHAnsi"/>
          <w:color w:val="000000" w:themeColor="text1"/>
          <w:sz w:val="19"/>
          <w:szCs w:val="19"/>
          <w:lang w:eastAsia="de-DE"/>
        </w:rPr>
      </w:pPr>
      <w:r w:rsidRPr="002E54E7">
        <w:rPr>
          <w:rFonts w:cstheme="minorHAnsi"/>
          <w:color w:val="000000" w:themeColor="text1"/>
        </w:rPr>
        <w:t xml:space="preserve">Die Leistungsbewertung im Fach </w:t>
      </w:r>
      <w:r>
        <w:rPr>
          <w:rFonts w:cstheme="minorHAnsi"/>
          <w:color w:val="000000" w:themeColor="text1"/>
        </w:rPr>
        <w:t>Chemie</w:t>
      </w:r>
      <w:r w:rsidRPr="002E54E7">
        <w:rPr>
          <w:rFonts w:cstheme="minorHAnsi"/>
          <w:color w:val="000000" w:themeColor="text1"/>
        </w:rPr>
        <w:t xml:space="preserve"> orientiert sich an folgenden Kriterien:</w:t>
      </w:r>
    </w:p>
    <w:p w14:paraId="6A9C5391" w14:textId="77777777" w:rsidR="002E54E7" w:rsidRPr="002E54E7" w:rsidRDefault="002E54E7" w:rsidP="002E54E7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6"/>
        <w:gridCol w:w="1559"/>
        <w:gridCol w:w="992"/>
      </w:tblGrid>
      <w:tr w:rsidR="002E54E7" w:rsidRPr="002E54E7" w14:paraId="25CA6837" w14:textId="77777777" w:rsidTr="002D556C">
        <w:trPr>
          <w:trHeight w:val="96"/>
          <w:tblHeader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132C9B" w14:textId="77777777" w:rsidR="002E54E7" w:rsidRPr="00DC169F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DC16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  <w:t>Quantität und Qualität der sonstigen Mitarbeit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A2F672" w14:textId="77777777" w:rsidR="002E54E7" w:rsidRPr="00DC169F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DC16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  <w:t xml:space="preserve">Note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55FD6" w14:textId="77777777" w:rsidR="002E54E7" w:rsidRPr="00DC169F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DC16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de-DE"/>
              </w:rPr>
              <w:t>Punkte</w:t>
            </w:r>
          </w:p>
        </w:tc>
      </w:tr>
      <w:tr w:rsidR="002E54E7" w:rsidRPr="002E54E7" w14:paraId="27F617AB" w14:textId="77777777" w:rsidTr="002D556C">
        <w:trPr>
          <w:trHeight w:val="4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6CB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Keine freiwillige Mitarbeit im Unterricht. </w:t>
            </w:r>
          </w:p>
          <w:p w14:paraId="42333828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Selbst reproduktive Leistungen (AFB I) werden nicht erbracht.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B46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ungenügend</w:t>
            </w:r>
          </w:p>
          <w:p w14:paraId="4ECF06FA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9E5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0</w:t>
            </w:r>
          </w:p>
        </w:tc>
      </w:tr>
      <w:tr w:rsidR="002E54E7" w:rsidRPr="002E54E7" w14:paraId="4FE70ABC" w14:textId="77777777" w:rsidTr="002D556C">
        <w:trPr>
          <w:trHeight w:val="4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02B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Keine oder vereinzelt freiwillige Mitarbeit im Unterricht. </w:t>
            </w:r>
          </w:p>
          <w:p w14:paraId="659CBB50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Reproduktive Äußerungen (AFB I) sind nach Aufforderung teilweise richtig.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E705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mangelhaft</w:t>
            </w:r>
          </w:p>
          <w:p w14:paraId="2B0D876E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DEB" w14:textId="77777777" w:rsidR="002E54E7" w:rsidRPr="002E54E7" w:rsidRDefault="002E54E7" w:rsidP="002D556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3 – 1</w:t>
            </w:r>
          </w:p>
        </w:tc>
      </w:tr>
      <w:tr w:rsidR="002E54E7" w:rsidRPr="002E54E7" w14:paraId="6553E86A" w14:textId="77777777" w:rsidTr="002D556C">
        <w:trPr>
          <w:trHeight w:val="4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5482" w14:textId="09165D60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Gelegentliche freiwillige Mitarbeit im Unterricht. Im Wesentlichen richtige Wiedergabe einfacher Fakten (AFB I), in Ansätzen Herstellen von Zusammenhängen aus unmittelbar behandelten Unterrichtsinhalten (AFB II).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D012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ausreichend</w:t>
            </w:r>
          </w:p>
          <w:p w14:paraId="7135425D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57E" w14:textId="77777777" w:rsidR="002E54E7" w:rsidRPr="002E54E7" w:rsidRDefault="002E54E7" w:rsidP="002D556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6 – 4</w:t>
            </w:r>
          </w:p>
        </w:tc>
      </w:tr>
      <w:tr w:rsidR="002E54E7" w:rsidRPr="002E54E7" w14:paraId="17E93598" w14:textId="77777777" w:rsidTr="002D556C">
        <w:trPr>
          <w:trHeight w:val="4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BF3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Regelmäßige freiwillige Mitarbeit im Unterricht. </w:t>
            </w:r>
          </w:p>
          <w:p w14:paraId="55251344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Im Wesentlichen sachgerechte Reproduktion (AFB I), über den unmittelbaren Zusammenhang hinausgehende Verknüpfung von Unterrichtsinhalten (AFB II), vereinzelte Beiträge im AFB III. </w:t>
            </w:r>
          </w:p>
          <w:p w14:paraId="0A60F751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Weitgehend angemessene sprachliche Darstellung und Anwendung der Fachsprache.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936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befriedigend</w:t>
            </w:r>
          </w:p>
          <w:p w14:paraId="2728AB98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AAED" w14:textId="77777777" w:rsidR="002E54E7" w:rsidRPr="002E54E7" w:rsidRDefault="002E54E7" w:rsidP="002D556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9 – 7</w:t>
            </w:r>
          </w:p>
        </w:tc>
      </w:tr>
      <w:tr w:rsidR="002E54E7" w:rsidRPr="002E54E7" w14:paraId="659D12DE" w14:textId="77777777" w:rsidTr="002D556C">
        <w:trPr>
          <w:trHeight w:val="4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AB7" w14:textId="73C3D1F3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Kontinuierliche freiwillige Mitarbeit im Unterricht.</w:t>
            </w:r>
            <w:r w:rsidR="00DC169F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Sachgerechte Reproduktion (AFB I) und Transferleistung (AFB II), Verständnis schwieriger Sachverhalte und deren Einordnung in den Gesamtzusammenhang des Themas, erkennen und beurteilen von Problemen (AFB III) </w:t>
            </w:r>
          </w:p>
          <w:p w14:paraId="3AA4E5E3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Angemessene sprachliche Darstellung und Anwendung der Fachsprache.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346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gut</w:t>
            </w:r>
          </w:p>
          <w:p w14:paraId="14344E28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1352" w14:textId="77777777" w:rsidR="002E54E7" w:rsidRPr="002E54E7" w:rsidRDefault="002E54E7" w:rsidP="002D556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12 – 10</w:t>
            </w:r>
          </w:p>
        </w:tc>
      </w:tr>
      <w:tr w:rsidR="002E54E7" w:rsidRPr="002E54E7" w14:paraId="0056093C" w14:textId="77777777" w:rsidTr="002D556C">
        <w:trPr>
          <w:trHeight w:val="4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5EF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Kontinuierliche freiwillige Mitarbeit im Unterricht. </w:t>
            </w:r>
          </w:p>
          <w:p w14:paraId="3C09AF0D" w14:textId="6840B4A8" w:rsidR="002E54E7" w:rsidRPr="002E54E7" w:rsidRDefault="002E54E7" w:rsidP="002D556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Sachgerechte Reproduktion auch äußerst komplexer Sachverhalte, Transferleistung sowie problembezogenes Begründen und Beurteilen (AFB III)</w:t>
            </w:r>
            <w:r w:rsidR="00AD2691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 xml:space="preserve">Entwicklung eigenständiger Fragestellungen, die den Unterricht in besonderem Maße bereichern.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4DBA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sehr gut</w:t>
            </w:r>
          </w:p>
          <w:p w14:paraId="79EBC7C3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72F5" w14:textId="77777777" w:rsidR="002E54E7" w:rsidRPr="002E54E7" w:rsidRDefault="002E54E7" w:rsidP="002D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2E54E7">
              <w:rPr>
                <w:rFonts w:cstheme="minorHAnsi"/>
                <w:color w:val="000000" w:themeColor="text1"/>
                <w:sz w:val="20"/>
                <w:szCs w:val="20"/>
                <w:lang w:eastAsia="de-DE"/>
              </w:rPr>
              <w:t>15 – 13</w:t>
            </w:r>
          </w:p>
        </w:tc>
      </w:tr>
    </w:tbl>
    <w:p w14:paraId="5876414C" w14:textId="77777777" w:rsidR="00AD2691" w:rsidRPr="00AD2691" w:rsidRDefault="00AD2691" w:rsidP="00DC169F"/>
    <w:sectPr w:rsidR="00AD2691" w:rsidRPr="00AD2691" w:rsidSect="00DC169F">
      <w:pgSz w:w="16838" w:h="11906" w:orient="landscape"/>
      <w:pgMar w:top="426" w:right="1440" w:bottom="14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F24B" w14:textId="77777777" w:rsidR="00A01B59" w:rsidRDefault="00A01B59" w:rsidP="002E54E7">
      <w:pPr>
        <w:spacing w:after="0" w:line="240" w:lineRule="auto"/>
      </w:pPr>
      <w:r>
        <w:separator/>
      </w:r>
    </w:p>
  </w:endnote>
  <w:endnote w:type="continuationSeparator" w:id="0">
    <w:p w14:paraId="603FBBF5" w14:textId="77777777" w:rsidR="00A01B59" w:rsidRDefault="00A01B59" w:rsidP="002E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0A58" w14:textId="77777777" w:rsidR="00A01B59" w:rsidRDefault="00A01B59" w:rsidP="002E54E7">
      <w:pPr>
        <w:spacing w:after="0" w:line="240" w:lineRule="auto"/>
      </w:pPr>
      <w:r>
        <w:separator/>
      </w:r>
    </w:p>
  </w:footnote>
  <w:footnote w:type="continuationSeparator" w:id="0">
    <w:p w14:paraId="3C55B38B" w14:textId="77777777" w:rsidR="00A01B59" w:rsidRDefault="00A01B59" w:rsidP="002E54E7">
      <w:pPr>
        <w:spacing w:after="0" w:line="240" w:lineRule="auto"/>
      </w:pPr>
      <w:r>
        <w:continuationSeparator/>
      </w:r>
    </w:p>
  </w:footnote>
  <w:footnote w:id="1">
    <w:p w14:paraId="0A3C259E" w14:textId="77777777" w:rsidR="002E54E7" w:rsidRDefault="002E54E7" w:rsidP="002E54E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C5128">
        <w:t xml:space="preserve">In der Q1 kann </w:t>
      </w:r>
      <w:r>
        <w:t xml:space="preserve">die 3. </w:t>
      </w:r>
      <w:r w:rsidRPr="005C5128">
        <w:t xml:space="preserve">Klausur durch eine Facharbeit </w:t>
      </w:r>
      <w:r>
        <w:t xml:space="preserve">oder durch die Teilnahme an einem Projektkurs </w:t>
      </w:r>
      <w:r w:rsidRPr="005C5128">
        <w:t>ersetzt werden.</w:t>
      </w:r>
    </w:p>
  </w:footnote>
  <w:footnote w:id="2">
    <w:p w14:paraId="003F4EEF" w14:textId="77777777" w:rsidR="002E54E7" w:rsidRDefault="002E54E7" w:rsidP="002E54E7">
      <w:pPr>
        <w:pStyle w:val="Funotentext"/>
      </w:pPr>
      <w:r>
        <w:rPr>
          <w:rStyle w:val="Funotenzeichen"/>
        </w:rPr>
        <w:footnoteRef/>
      </w:r>
      <w:r>
        <w:t xml:space="preserve"> § 13 </w:t>
      </w:r>
      <w:hyperlink r:id="rId1" w:anchor="13-32nr3.1p13" w:history="1">
        <w:r>
          <w:rPr>
            <w:rStyle w:val="Hyperlink"/>
          </w:rPr>
          <w:t>Verordnung über den Bildungsgang und die Abiturprüfung in der gymnasialen Oberstufe (APO-</w:t>
        </w:r>
        <w:proofErr w:type="spellStart"/>
        <w:r>
          <w:rPr>
            <w:rStyle w:val="Hyperlink"/>
          </w:rPr>
          <w:t>GOSt</w:t>
        </w:r>
        <w:proofErr w:type="spellEnd"/>
        <w:r>
          <w:rPr>
            <w:rStyle w:val="Hyperlink"/>
          </w:rPr>
          <w:t>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6CE"/>
    <w:multiLevelType w:val="hybridMultilevel"/>
    <w:tmpl w:val="BFBE6F8C"/>
    <w:lvl w:ilvl="0" w:tplc="FF8C31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75D1"/>
    <w:multiLevelType w:val="hybridMultilevel"/>
    <w:tmpl w:val="776ABC18"/>
    <w:lvl w:ilvl="0" w:tplc="8D34665C">
      <w:start w:val="1"/>
      <w:numFmt w:val="upperRoman"/>
      <w:lvlText w:val="%1."/>
      <w:lvlJc w:val="right"/>
      <w:pPr>
        <w:ind w:left="720" w:hanging="360"/>
      </w:pPr>
      <w:rPr>
        <w:color w:val="525252" w:themeColor="accent3" w:themeShade="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8D8"/>
    <w:multiLevelType w:val="hybridMultilevel"/>
    <w:tmpl w:val="A03A4912"/>
    <w:lvl w:ilvl="0" w:tplc="82D82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079"/>
    <w:multiLevelType w:val="hybridMultilevel"/>
    <w:tmpl w:val="DB1E9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242331">
    <w:abstractNumId w:val="3"/>
  </w:num>
  <w:num w:numId="2" w16cid:durableId="1866672318">
    <w:abstractNumId w:val="2"/>
  </w:num>
  <w:num w:numId="3" w16cid:durableId="148182033">
    <w:abstractNumId w:val="0"/>
  </w:num>
  <w:num w:numId="4" w16cid:durableId="114203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BC"/>
    <w:rsid w:val="000B4E60"/>
    <w:rsid w:val="001F6898"/>
    <w:rsid w:val="0026289A"/>
    <w:rsid w:val="002E54E7"/>
    <w:rsid w:val="00517063"/>
    <w:rsid w:val="00571AB4"/>
    <w:rsid w:val="006E5649"/>
    <w:rsid w:val="00874179"/>
    <w:rsid w:val="00985732"/>
    <w:rsid w:val="009A79FD"/>
    <w:rsid w:val="00A01B59"/>
    <w:rsid w:val="00A85391"/>
    <w:rsid w:val="00AD2691"/>
    <w:rsid w:val="00AF0546"/>
    <w:rsid w:val="00C249FE"/>
    <w:rsid w:val="00D435FE"/>
    <w:rsid w:val="00DC169F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723B"/>
  <w15:chartTrackingRefBased/>
  <w15:docId w15:val="{B9CE485A-B324-44B5-82E1-8FEB522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54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64BC"/>
    <w:pPr>
      <w:ind w:left="720"/>
      <w:contextualSpacing/>
    </w:pPr>
  </w:style>
  <w:style w:type="paragraph" w:customStyle="1" w:styleId="Default">
    <w:name w:val="Default"/>
    <w:rsid w:val="001F6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2E54E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E54E7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2E54E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54E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E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9607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cp:lastPrinted>2023-10-19T09:24:00Z</cp:lastPrinted>
  <dcterms:created xsi:type="dcterms:W3CDTF">2023-10-19T09:44:00Z</dcterms:created>
  <dcterms:modified xsi:type="dcterms:W3CDTF">2023-10-19T11:48:00Z</dcterms:modified>
</cp:coreProperties>
</file>